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2472EE0A" w:rsidR="00093CA9" w:rsidRDefault="00057AB6" w:rsidP="00093CA9">
            <w:r w:rsidRPr="00057AB6">
              <w:t>Incept Legal</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A56ADB3" w:rsidR="00093CA9" w:rsidRDefault="004B60D4" w:rsidP="00093CA9">
            <w:r>
              <w:t>Egypt</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05A751F2" w:rsidR="00093CA9" w:rsidRDefault="003F28D5" w:rsidP="00093CA9">
            <w:r w:rsidRPr="003F28D5">
              <w:t>Rules for the Settlement of Carbon Emission Reduction Credits and their Forward Contracts </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6210D1E8" w:rsidR="00093CA9" w:rsidRDefault="0078288E" w:rsidP="00093CA9">
            <w:hyperlink r:id="rId17" w:history="1">
              <w:r w:rsidRPr="00A74240">
                <w:rPr>
                  <w:rStyle w:val="Hyperlink"/>
                </w:rPr>
                <w:t>https://web.archive.org/web/20250119201104/https://fra.gov.eg/wp-content/uploads/2025/01/clearance_rules_carbon_jul_2024-1.pdf</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4EA97416"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6E31A9A0"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2F7CC1A9"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601E2F55" w:rsidR="00093CA9" w:rsidRDefault="003F28D5"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19DC181C"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BC4685F"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2576509E" w:rsidR="00093CA9" w:rsidRDefault="00A150D2" w:rsidP="00A150D2">
            <w:r>
              <w:t>The policy tool regulates the settlement</w:t>
            </w:r>
            <w:r w:rsidR="00CC66D5">
              <w:t xml:space="preserve"> </w:t>
            </w:r>
            <w:r>
              <w:t>of trading transactions of carbon emission reduction credits and forward contracts related to the future issuance of credits</w:t>
            </w:r>
            <w:r w:rsidR="0078288E">
              <w:t>, being directly related to the carbon credits domain</w:t>
            </w:r>
            <w:r>
              <w:t xml:space="preserve">.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47B778D1" w:rsidR="00093CA9" w:rsidRDefault="00BF45CA"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14B9F2F" w:rsidR="00093CA9" w:rsidRPr="00173D7C" w:rsidRDefault="00A150D2" w:rsidP="00093CA9">
            <w:pPr>
              <w:rPr>
                <w:color w:val="000000" w:themeColor="text1"/>
              </w:rPr>
            </w:pPr>
            <w:r>
              <w:rPr>
                <w:color w:val="000000" w:themeColor="text1"/>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46FF75D2"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1EC11BEE" w:rsidR="00093CA9" w:rsidRDefault="0078288E" w:rsidP="00093CA9">
            <w:r>
              <w:t>Independent</w:t>
            </w:r>
            <w:r w:rsidR="00A150D2" w:rsidRPr="00A150D2">
              <w:t xml:space="preserve"> regulatory or supervisory bod</w:t>
            </w:r>
            <w:r w:rsidR="00A150D2">
              <w:t>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36553B88" w:rsidR="00093CA9" w:rsidRPr="006B7B0D" w:rsidRDefault="00A150D2" w:rsidP="00093CA9">
            <w:r w:rsidRPr="00A150D2">
              <w:t>Financial Regulatory Authority</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4125EEDB"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1B5F4B97" w:rsidR="00093CA9" w:rsidRPr="006B7B0D" w:rsidRDefault="00E95EA1"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641B2C9" w:rsidR="00093CA9" w:rsidRPr="006B7B0D" w:rsidRDefault="00FB6189" w:rsidP="00093CA9">
            <w:proofErr w:type="spellStart"/>
            <w:r>
              <w:t>Taswyaat</w:t>
            </w:r>
            <w:proofErr w:type="spellEnd"/>
            <w:r>
              <w:t xml:space="preserve"> for Clearing Services</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54CFBE4B" w:rsidR="00093CA9" w:rsidRPr="006B7B0D" w:rsidRDefault="00FB6189"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lastRenderedPageBreak/>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1593434"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60A66E82" w:rsidR="00093CA9" w:rsidRDefault="00FB6189"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B5A2432" w:rsidR="00093CA9" w:rsidRPr="008017F9" w:rsidRDefault="00FB6189" w:rsidP="00093CA9">
            <w:pPr>
              <w:keepNext/>
              <w:rPr>
                <w:color w:val="000000" w:themeColor="text1"/>
              </w:rPr>
            </w:pPr>
            <w:r>
              <w:rPr>
                <w:color w:val="000000" w:themeColor="text1"/>
              </w:rPr>
              <w:t xml:space="preserve">Only carbon credits that are validated and verified by FRA approved </w:t>
            </w:r>
            <w:proofErr w:type="spellStart"/>
            <w:r>
              <w:rPr>
                <w:color w:val="000000" w:themeColor="text1"/>
              </w:rPr>
              <w:t>entites</w:t>
            </w:r>
            <w:proofErr w:type="spellEnd"/>
            <w:r>
              <w:rPr>
                <w:color w:val="000000" w:themeColor="text1"/>
              </w:rPr>
              <w:t xml:space="preserve"> can be listed or settled (Article 2 – definitions of credits). The licensed clearing company is also responsible for ensuring accurate settlement of trades (Article 5, 7), verifying that credits meet eligibility criteria (Article 8), and transferring the delivery of credits in forward contracts to buyers after debiting the value from the buyer’s account (Article 9).</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057AB6"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AD5DC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AD5DC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09026E2F" w:rsidR="00D4323A" w:rsidRPr="00CF2E7C" w:rsidRDefault="001A1F74" w:rsidP="00CF2E7C">
            <w:pPr>
              <w:rPr>
                <w:rFonts w:ascii="Calibri" w:hAnsi="Calibri" w:cs="Calibri"/>
              </w:rPr>
            </w:pPr>
            <w:r>
              <w:rPr>
                <w:rFonts w:ascii="Calibri" w:hAnsi="Calibri" w:cs="Calibri"/>
              </w:rPr>
              <w:t>X</w:t>
            </w: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3D49A6EA" w:rsidR="00D4323A" w:rsidRPr="00CF2E7C" w:rsidRDefault="001A1F74" w:rsidP="00CF2E7C">
            <w:pPr>
              <w:rPr>
                <w:rFonts w:ascii="Calibri" w:hAnsi="Calibri" w:cs="Calibri"/>
              </w:rPr>
            </w:pPr>
            <w:r>
              <w:rPr>
                <w:rFonts w:ascii="Calibri" w:hAnsi="Calibri" w:cs="Calibri"/>
              </w:rPr>
              <w:t>X</w:t>
            </w: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4D952E6E" w:rsidR="00D4323A" w:rsidRPr="00CF2E7C" w:rsidRDefault="001A1F74" w:rsidP="00CF2E7C">
            <w:pPr>
              <w:rPr>
                <w:rFonts w:ascii="Calibri" w:hAnsi="Calibri" w:cs="Calibri"/>
              </w:rPr>
            </w:pPr>
            <w:r>
              <w:rPr>
                <w:rFonts w:ascii="Calibri" w:hAnsi="Calibri" w:cs="Calibri"/>
              </w:rPr>
              <w:t>X</w:t>
            </w: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5CA2ED7D" w:rsidR="00D4323A" w:rsidRPr="00CF2E7C" w:rsidRDefault="002F1963" w:rsidP="00CF2E7C">
            <w:pPr>
              <w:rPr>
                <w:rFonts w:ascii="Calibri" w:hAnsi="Calibri" w:cs="Calibri"/>
              </w:rPr>
            </w:pPr>
            <w:r>
              <w:rPr>
                <w:rFonts w:ascii="Calibri" w:hAnsi="Calibri" w:cs="Calibri"/>
              </w:rPr>
              <w:t>X</w:t>
            </w:r>
          </w:p>
        </w:tc>
        <w:tc>
          <w:tcPr>
            <w:tcW w:w="1674" w:type="dxa"/>
            <w:vAlign w:val="center"/>
          </w:tcPr>
          <w:p w14:paraId="550F0882" w14:textId="0AA992C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31A1E574" w:rsidR="00D4323A" w:rsidRPr="00CF2E7C" w:rsidRDefault="001A1F74" w:rsidP="00CF2E7C">
            <w:pPr>
              <w:rPr>
                <w:rFonts w:ascii="Calibri" w:hAnsi="Calibri" w:cs="Calibri"/>
              </w:rPr>
            </w:pPr>
            <w:r>
              <w:rPr>
                <w:rFonts w:ascii="Calibri" w:hAnsi="Calibri" w:cs="Calibri"/>
              </w:rPr>
              <w:t>X</w:t>
            </w: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06349852" w:rsidR="00D4323A" w:rsidRPr="00CF2E7C" w:rsidRDefault="00D4323A" w:rsidP="00CF2E7C">
            <w:pPr>
              <w:rPr>
                <w:rFonts w:ascii="Calibri" w:hAnsi="Calibri" w:cs="Calibri"/>
              </w:rPr>
            </w:pPr>
          </w:p>
        </w:tc>
        <w:tc>
          <w:tcPr>
            <w:tcW w:w="1674" w:type="dxa"/>
            <w:vAlign w:val="center"/>
          </w:tcPr>
          <w:p w14:paraId="2C6A5022" w14:textId="20FFA962" w:rsidR="00D4323A" w:rsidRPr="00CF2E7C" w:rsidRDefault="00D4323A" w:rsidP="00CF2E7C">
            <w:pPr>
              <w:rPr>
                <w:rFonts w:ascii="Calibri" w:hAnsi="Calibri" w:cs="Calibri"/>
              </w:rPr>
            </w:pPr>
          </w:p>
        </w:tc>
        <w:tc>
          <w:tcPr>
            <w:tcW w:w="1723" w:type="dxa"/>
            <w:vAlign w:val="center"/>
          </w:tcPr>
          <w:p w14:paraId="0590EE0A" w14:textId="4FC081AF" w:rsidR="00D4323A" w:rsidRPr="00CF2E7C" w:rsidRDefault="0086692F" w:rsidP="00CF2E7C">
            <w:pPr>
              <w:rPr>
                <w:rFonts w:ascii="Calibri" w:hAnsi="Calibri" w:cs="Calibri"/>
              </w:rPr>
            </w:pPr>
            <w:r>
              <w:rPr>
                <w:rFonts w:ascii="Calibri" w:hAnsi="Calibri" w:cs="Calibri"/>
              </w:rPr>
              <w:t>X</w:t>
            </w: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3E52BC11" w:rsidR="00D4323A" w:rsidRPr="00CF2E7C" w:rsidRDefault="001A1F74" w:rsidP="00CF2E7C">
            <w:pPr>
              <w:rPr>
                <w:rFonts w:ascii="Calibri" w:hAnsi="Calibri" w:cs="Calibri"/>
              </w:rPr>
            </w:pPr>
            <w:r>
              <w:rPr>
                <w:rFonts w:ascii="Calibri" w:hAnsi="Calibri" w:cs="Calibri"/>
              </w:rPr>
              <w:t>X</w:t>
            </w: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38568BE4" w:rsidR="00D4323A" w:rsidRPr="00CF2E7C" w:rsidRDefault="00D4323A" w:rsidP="00CF2E7C">
            <w:pPr>
              <w:rPr>
                <w:rFonts w:ascii="Calibri" w:hAnsi="Calibri" w:cs="Calibri"/>
              </w:rPr>
            </w:pPr>
          </w:p>
        </w:tc>
        <w:tc>
          <w:tcPr>
            <w:tcW w:w="1674" w:type="dxa"/>
            <w:vAlign w:val="center"/>
          </w:tcPr>
          <w:p w14:paraId="35A8F84B" w14:textId="6875950F" w:rsidR="00D4323A" w:rsidRPr="00CF2E7C" w:rsidRDefault="00D4323A" w:rsidP="00CF2E7C">
            <w:pPr>
              <w:rPr>
                <w:rFonts w:ascii="Calibri" w:hAnsi="Calibri" w:cs="Calibri"/>
              </w:rPr>
            </w:pPr>
          </w:p>
        </w:tc>
        <w:tc>
          <w:tcPr>
            <w:tcW w:w="1723" w:type="dxa"/>
            <w:vAlign w:val="center"/>
          </w:tcPr>
          <w:p w14:paraId="2E4A286B" w14:textId="6F217794" w:rsidR="00D4323A" w:rsidRPr="00CF2E7C" w:rsidRDefault="00B4253E" w:rsidP="00CF2E7C">
            <w:pPr>
              <w:rPr>
                <w:rFonts w:ascii="Calibri" w:hAnsi="Calibri" w:cs="Calibri"/>
              </w:rPr>
            </w:pPr>
            <w:r>
              <w:rPr>
                <w:rFonts w:ascii="Calibri" w:hAnsi="Calibri" w:cs="Calibri"/>
              </w:rPr>
              <w:t>X</w:t>
            </w: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1F55170" w:rsidR="00D4323A" w:rsidRPr="00CF2E7C" w:rsidRDefault="00D4323A" w:rsidP="00CF2E7C">
            <w:pPr>
              <w:rPr>
                <w:rFonts w:ascii="Calibri" w:hAnsi="Calibri" w:cs="Calibri"/>
              </w:rPr>
            </w:pPr>
          </w:p>
        </w:tc>
        <w:tc>
          <w:tcPr>
            <w:tcW w:w="1723" w:type="dxa"/>
            <w:vAlign w:val="center"/>
          </w:tcPr>
          <w:p w14:paraId="2B8AB3B9" w14:textId="5110F29C" w:rsidR="00D4323A" w:rsidRPr="00CF2E7C" w:rsidRDefault="00B4253E" w:rsidP="00CF2E7C">
            <w:pPr>
              <w:rPr>
                <w:rFonts w:ascii="Calibri" w:hAnsi="Calibri" w:cs="Calibri"/>
              </w:rPr>
            </w:pPr>
            <w:r>
              <w:rPr>
                <w:rFonts w:ascii="Calibri" w:hAnsi="Calibri" w:cs="Calibri"/>
              </w:rPr>
              <w:t>X</w:t>
            </w: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12383945" w:rsidR="00D4323A" w:rsidRPr="00CF2E7C" w:rsidRDefault="00D4323A" w:rsidP="00CF2E7C">
            <w:pPr>
              <w:rPr>
                <w:rFonts w:ascii="Calibri" w:hAnsi="Calibri" w:cs="Calibri"/>
              </w:rPr>
            </w:pPr>
          </w:p>
        </w:tc>
        <w:tc>
          <w:tcPr>
            <w:tcW w:w="1723" w:type="dxa"/>
            <w:vAlign w:val="center"/>
          </w:tcPr>
          <w:p w14:paraId="6D84FEB1" w14:textId="11F9C371" w:rsidR="00D4323A" w:rsidRPr="00CF2E7C" w:rsidRDefault="00B4253E" w:rsidP="00CF2E7C">
            <w:pPr>
              <w:rPr>
                <w:rFonts w:ascii="Calibri" w:hAnsi="Calibri" w:cs="Calibri"/>
              </w:rPr>
            </w:pPr>
            <w:r>
              <w:rPr>
                <w:rFonts w:ascii="Calibri" w:hAnsi="Calibri" w:cs="Calibri"/>
              </w:rPr>
              <w:t>X</w:t>
            </w: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5B581253" w:rsidR="00D4323A" w:rsidRPr="00CF2E7C" w:rsidRDefault="00D4323A" w:rsidP="00CF2E7C">
            <w:pPr>
              <w:rPr>
                <w:rFonts w:ascii="Calibri" w:hAnsi="Calibri" w:cs="Calibri"/>
              </w:rPr>
            </w:pPr>
          </w:p>
        </w:tc>
        <w:tc>
          <w:tcPr>
            <w:tcW w:w="1723" w:type="dxa"/>
            <w:vAlign w:val="center"/>
          </w:tcPr>
          <w:p w14:paraId="7DC8E64E" w14:textId="35CB8272" w:rsidR="00D4323A" w:rsidRPr="00CF2E7C" w:rsidRDefault="00B4253E" w:rsidP="00CF2E7C">
            <w:pPr>
              <w:rPr>
                <w:rFonts w:ascii="Calibri" w:hAnsi="Calibri" w:cs="Calibri"/>
              </w:rPr>
            </w:pPr>
            <w:r>
              <w:rPr>
                <w:rFonts w:ascii="Calibri" w:hAnsi="Calibri" w:cs="Calibri"/>
              </w:rPr>
              <w:t>X</w:t>
            </w: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25E612AC" w:rsidR="00D4323A" w:rsidRPr="00CF2E7C" w:rsidRDefault="001A1F74" w:rsidP="00CF2E7C">
            <w:pPr>
              <w:rPr>
                <w:rFonts w:ascii="Calibri" w:hAnsi="Calibri" w:cs="Calibri"/>
              </w:rPr>
            </w:pPr>
            <w:r>
              <w:rPr>
                <w:rFonts w:ascii="Calibri" w:hAnsi="Calibri" w:cs="Calibri"/>
              </w:rPr>
              <w:t>X</w:t>
            </w: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5CC3DBDB" w:rsidR="00D4323A" w:rsidRPr="00CF2E7C" w:rsidRDefault="00B4253E" w:rsidP="00CF2E7C">
            <w:pPr>
              <w:rPr>
                <w:rFonts w:ascii="Calibri" w:hAnsi="Calibri" w:cs="Calibri"/>
              </w:rPr>
            </w:pPr>
            <w:r>
              <w:rPr>
                <w:rFonts w:ascii="Calibri" w:hAnsi="Calibri" w:cs="Calibri"/>
              </w:rPr>
              <w:t>X</w:t>
            </w: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2AC424C8" w:rsidR="00092534" w:rsidRPr="00CF2E7C" w:rsidRDefault="00B4253E" w:rsidP="00CF2E7C">
            <w:pPr>
              <w:rPr>
                <w:rFonts w:ascii="Calibri" w:hAnsi="Calibri" w:cs="Calibri"/>
              </w:rPr>
            </w:pPr>
            <w:r>
              <w:rPr>
                <w:rFonts w:ascii="Calibri" w:hAnsi="Calibri" w:cs="Calibri"/>
              </w:rPr>
              <w:t>The policy tool targets any entity engaging in carbon credit trading</w:t>
            </w:r>
            <w:r w:rsidR="00780ECE">
              <w:rPr>
                <w:rFonts w:ascii="Calibri" w:hAnsi="Calibri" w:cs="Calibri"/>
              </w:rPr>
              <w:t>, settlement, or retirement</w:t>
            </w:r>
            <w:r w:rsidR="0086692F">
              <w:rPr>
                <w:rFonts w:ascii="Calibri" w:hAnsi="Calibri" w:cs="Calibri"/>
              </w:rPr>
              <w:t>, and would include brokerage firms, the clearing company, and any natural or legal person that trades carbon emission reduction credits and their forward contracts.</w:t>
            </w: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3CFBB4B5" w:rsidR="00092534" w:rsidRPr="00CF2E7C" w:rsidRDefault="001A1F74" w:rsidP="00CF2E7C">
            <w:pPr>
              <w:rPr>
                <w:rFonts w:ascii="Calibri" w:hAnsi="Calibri" w:cs="Calibri"/>
              </w:rPr>
            </w:pPr>
            <w:r>
              <w:rPr>
                <w:rFonts w:ascii="Calibri" w:hAnsi="Calibri" w:cs="Calibri"/>
              </w:rPr>
              <w:t>X</w:t>
            </w: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1F5051E8" w:rsidR="00092534" w:rsidRPr="00CF2E7C" w:rsidRDefault="001A1F74" w:rsidP="00CF2E7C">
            <w:pPr>
              <w:rPr>
                <w:rFonts w:ascii="Calibri" w:hAnsi="Calibri" w:cs="Calibri"/>
              </w:rPr>
            </w:pPr>
            <w:r>
              <w:rPr>
                <w:rFonts w:ascii="Calibri" w:hAnsi="Calibri" w:cs="Calibri"/>
              </w:rPr>
              <w:t>X</w:t>
            </w: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6762F610" w:rsidR="00092534" w:rsidRPr="00CF2E7C" w:rsidRDefault="001A1F74" w:rsidP="00CF2E7C">
            <w:pPr>
              <w:rPr>
                <w:rFonts w:ascii="Calibri" w:hAnsi="Calibri" w:cs="Calibri"/>
              </w:rPr>
            </w:pPr>
            <w:r>
              <w:rPr>
                <w:rFonts w:ascii="Calibri" w:hAnsi="Calibri" w:cs="Calibri"/>
              </w:rPr>
              <w:t>X</w:t>
            </w: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5A86BA46" w:rsidR="00092534" w:rsidRPr="00CF2E7C" w:rsidRDefault="001A1F74" w:rsidP="00CF2E7C">
            <w:pPr>
              <w:rPr>
                <w:rFonts w:ascii="Calibri" w:hAnsi="Calibri" w:cs="Calibri"/>
              </w:rPr>
            </w:pPr>
            <w:r>
              <w:rPr>
                <w:rFonts w:ascii="Calibri" w:hAnsi="Calibri" w:cs="Calibri"/>
              </w:rPr>
              <w:t>X</w:t>
            </w: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3B95A23B" w:rsidR="00092534" w:rsidRPr="00CF2E7C" w:rsidRDefault="001A1F74" w:rsidP="00CF2E7C">
            <w:pPr>
              <w:rPr>
                <w:rFonts w:ascii="Calibri" w:hAnsi="Calibri" w:cs="Calibri"/>
              </w:rPr>
            </w:pPr>
            <w:r>
              <w:rPr>
                <w:rFonts w:ascii="Calibri" w:hAnsi="Calibri" w:cs="Calibri"/>
              </w:rPr>
              <w:t>X</w:t>
            </w: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394B475F"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AB2D2BB"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38AA5CB1"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6D6AE399"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2F99F8D"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1D2D6EA0"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5369CEC0"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86D9EB0" w14:textId="719D3EC0" w:rsidR="00840E46" w:rsidRPr="00840E46" w:rsidRDefault="00840E46" w:rsidP="00840E46">
            <w:pPr>
              <w:rPr>
                <w:rFonts w:ascii="Calibri" w:hAnsi="Calibri" w:cs="Calibri"/>
              </w:rPr>
            </w:pPr>
            <w:r w:rsidRPr="00840E46">
              <w:rPr>
                <w:rFonts w:ascii="Calibri" w:hAnsi="Calibri" w:cs="Calibri"/>
              </w:rPr>
              <w:t>Banks are mandatorily involved as Settlement Banks</w:t>
            </w:r>
            <w:r>
              <w:rPr>
                <w:rFonts w:ascii="Calibri" w:hAnsi="Calibri" w:cs="Calibri"/>
              </w:rPr>
              <w:t xml:space="preserve"> to</w:t>
            </w:r>
            <w:r w:rsidRPr="00840E46">
              <w:rPr>
                <w:rFonts w:ascii="Calibri" w:hAnsi="Calibri" w:cs="Calibri"/>
              </w:rPr>
              <w:t xml:space="preserve"> execut</w:t>
            </w:r>
            <w:r>
              <w:rPr>
                <w:rFonts w:ascii="Calibri" w:hAnsi="Calibri" w:cs="Calibri"/>
              </w:rPr>
              <w:t>e</w:t>
            </w:r>
            <w:r w:rsidRPr="00840E46">
              <w:rPr>
                <w:rFonts w:ascii="Calibri" w:hAnsi="Calibri" w:cs="Calibri"/>
              </w:rPr>
              <w:t xml:space="preserve"> fund transfers between brokers, deducting regulatory fees, and finalizing cash settlements.</w:t>
            </w:r>
          </w:p>
          <w:p w14:paraId="1E88028E" w14:textId="7949B293" w:rsidR="00840E46" w:rsidRPr="00840E46" w:rsidRDefault="00840E46" w:rsidP="00840E46">
            <w:pPr>
              <w:rPr>
                <w:rFonts w:ascii="Calibri" w:hAnsi="Calibri" w:cs="Calibri"/>
              </w:rPr>
            </w:pPr>
            <w:r>
              <w:rPr>
                <w:rFonts w:ascii="Calibri" w:hAnsi="Calibri" w:cs="Calibri"/>
              </w:rPr>
              <w:t xml:space="preserve">Non-bank financial institutions, namely brokerage firms and clearing companies, must </w:t>
            </w:r>
            <w:r w:rsidRPr="00840E46">
              <w:rPr>
                <w:rFonts w:ascii="Calibri" w:hAnsi="Calibri" w:cs="Calibri"/>
              </w:rPr>
              <w:t>maintain accounts, facilitat</w:t>
            </w:r>
            <w:r>
              <w:rPr>
                <w:rFonts w:ascii="Calibri" w:hAnsi="Calibri" w:cs="Calibri"/>
              </w:rPr>
              <w:t>e</w:t>
            </w:r>
            <w:r w:rsidRPr="00840E46">
              <w:rPr>
                <w:rFonts w:ascii="Calibri" w:hAnsi="Calibri" w:cs="Calibri"/>
              </w:rPr>
              <w:t xml:space="preserve"> trades, and ensur</w:t>
            </w:r>
            <w:r>
              <w:rPr>
                <w:rFonts w:ascii="Calibri" w:hAnsi="Calibri" w:cs="Calibri"/>
              </w:rPr>
              <w:t>e</w:t>
            </w:r>
            <w:r w:rsidRPr="00840E46">
              <w:rPr>
                <w:rFonts w:ascii="Calibri" w:hAnsi="Calibri" w:cs="Calibri"/>
              </w:rPr>
              <w:t xml:space="preserve"> compliance with F</w:t>
            </w:r>
            <w:r>
              <w:rPr>
                <w:rFonts w:ascii="Calibri" w:hAnsi="Calibri" w:cs="Calibri"/>
              </w:rPr>
              <w:t>inancial Regulation Authority</w:t>
            </w:r>
            <w:r w:rsidRPr="00840E46">
              <w:rPr>
                <w:rFonts w:ascii="Calibri" w:hAnsi="Calibri" w:cs="Calibri"/>
              </w:rPr>
              <w:t xml:space="preserve"> standards.</w:t>
            </w:r>
          </w:p>
          <w:p w14:paraId="2894CDCA" w14:textId="4E3E45E8" w:rsidR="00092534" w:rsidRPr="00CF2E7C" w:rsidRDefault="00840E46" w:rsidP="00840E46">
            <w:pPr>
              <w:rPr>
                <w:rFonts w:ascii="Calibri" w:hAnsi="Calibri" w:cs="Calibri"/>
              </w:rPr>
            </w:pPr>
            <w:r>
              <w:rPr>
                <w:rFonts w:ascii="Calibri" w:hAnsi="Calibri" w:cs="Calibri"/>
              </w:rPr>
              <w:t xml:space="preserve">Other targeted entities must </w:t>
            </w:r>
            <w:r w:rsidRPr="00840E46">
              <w:rPr>
                <w:rFonts w:ascii="Calibri" w:hAnsi="Calibri" w:cs="Calibri"/>
              </w:rPr>
              <w:t>trad</w:t>
            </w:r>
            <w:r>
              <w:rPr>
                <w:rFonts w:ascii="Calibri" w:hAnsi="Calibri" w:cs="Calibri"/>
              </w:rPr>
              <w:t>e carbon credits</w:t>
            </w:r>
            <w:r w:rsidRPr="00840E46">
              <w:rPr>
                <w:rFonts w:ascii="Calibri" w:hAnsi="Calibri" w:cs="Calibri"/>
              </w:rPr>
              <w:t xml:space="preserve"> through licensed brokers and </w:t>
            </w:r>
            <w:r>
              <w:rPr>
                <w:rFonts w:ascii="Calibri" w:hAnsi="Calibri" w:cs="Calibri"/>
              </w:rPr>
              <w:t>comply with settlement and retirement rules.</w:t>
            </w: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F38EBD1" w:rsidR="00092534" w:rsidRPr="00CF2E7C" w:rsidRDefault="00780ECE" w:rsidP="00CF2E7C">
            <w:pPr>
              <w:rPr>
                <w:rFonts w:ascii="Calibri" w:hAnsi="Calibri" w:cs="Calibri"/>
              </w:rPr>
            </w:pPr>
            <w:r>
              <w:rPr>
                <w:rFonts w:ascii="Calibri" w:hAnsi="Calibri" w:cs="Calibri"/>
              </w:rPr>
              <w:t>N/A</w:t>
            </w: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845A7CD" w:rsidR="00092534" w:rsidRPr="00CF2E7C" w:rsidRDefault="00780ECE" w:rsidP="00CF2E7C">
            <w:pPr>
              <w:rPr>
                <w:rFonts w:ascii="Calibri" w:hAnsi="Calibri" w:cs="Calibri"/>
              </w:rPr>
            </w:pPr>
            <w:r>
              <w:rPr>
                <w:rFonts w:ascii="Calibri" w:hAnsi="Calibri" w:cs="Calibri"/>
              </w:rPr>
              <w:t>N/A</w:t>
            </w:r>
          </w:p>
        </w:tc>
      </w:tr>
      <w:tr w:rsidR="00092534" w:rsidRPr="00AD5DC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465DDA9C" w:rsidR="00092534" w:rsidRPr="00CF2E7C" w:rsidRDefault="00780ECE" w:rsidP="00CF2E7C">
            <w:pPr>
              <w:rPr>
                <w:rFonts w:ascii="Calibri" w:hAnsi="Calibri" w:cs="Calibri"/>
                <w:lang w:val="sv-SE"/>
              </w:rPr>
            </w:pPr>
            <w:r>
              <w:rPr>
                <w:rFonts w:ascii="Calibri" w:hAnsi="Calibri" w:cs="Calibri"/>
                <w:lang w:val="sv-SE"/>
              </w:rPr>
              <w:t>N/A</w:t>
            </w: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4A59D3D9" w:rsidR="00092534" w:rsidRPr="00CF2E7C" w:rsidRDefault="00780ECE" w:rsidP="00CF2E7C">
            <w:pPr>
              <w:rPr>
                <w:rFonts w:ascii="Calibri" w:hAnsi="Calibri" w:cs="Calibri"/>
              </w:rPr>
            </w:pPr>
            <w:r>
              <w:rPr>
                <w:rFonts w:ascii="Calibri" w:hAnsi="Calibri" w:cs="Calibri"/>
              </w:rPr>
              <w:t>N/A</w:t>
            </w: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13434196" w:rsidR="00092534" w:rsidRPr="00CF2E7C" w:rsidRDefault="00780ECE" w:rsidP="00CF2E7C">
            <w:pPr>
              <w:rPr>
                <w:rFonts w:ascii="Calibri" w:hAnsi="Calibri" w:cs="Calibri"/>
              </w:rPr>
            </w:pPr>
            <w:r>
              <w:rPr>
                <w:rFonts w:ascii="Calibri" w:hAnsi="Calibri" w:cs="Calibri"/>
              </w:rPr>
              <w:t>N/A</w:t>
            </w: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3935B117" w:rsidR="00092534" w:rsidRPr="00CF2E7C" w:rsidRDefault="00780ECE" w:rsidP="00CF2E7C">
            <w:pPr>
              <w:rPr>
                <w:rFonts w:ascii="Calibri" w:hAnsi="Calibri" w:cs="Calibri"/>
              </w:rPr>
            </w:pPr>
            <w:r>
              <w:rPr>
                <w:rFonts w:ascii="Calibri" w:hAnsi="Calibri" w:cs="Calibri"/>
              </w:rPr>
              <w:t>Mandatory compliance is activity based and is triggered by engaging in carbon credit, trading, settlement, or retirement.</w:t>
            </w: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41B9FE05" w:rsidR="00092534" w:rsidRPr="00CF2E7C" w:rsidRDefault="00780ECE" w:rsidP="00CF2E7C">
            <w:pPr>
              <w:rPr>
                <w:rFonts w:ascii="Calibri" w:hAnsi="Calibri" w:cs="Calibri"/>
              </w:rPr>
            </w:pPr>
            <w:r>
              <w:rPr>
                <w:rFonts w:ascii="Calibri" w:hAnsi="Calibri" w:cs="Calibri"/>
              </w:rPr>
              <w:t>X</w:t>
            </w: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lastRenderedPageBreak/>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69EE9EE1" w:rsidR="00DB1E72" w:rsidRPr="00CF2E7C" w:rsidRDefault="00780ECE" w:rsidP="00CF2E7C">
            <w:pPr>
              <w:rPr>
                <w:rFonts w:ascii="Calibri" w:hAnsi="Calibri" w:cs="Calibri"/>
              </w:rPr>
            </w:pPr>
            <w:r>
              <w:rPr>
                <w:rFonts w:ascii="Calibri" w:hAnsi="Calibri" w:cs="Calibri"/>
              </w:rPr>
              <w:t>X</w:t>
            </w: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36FA52B6" w:rsidR="00092534" w:rsidRPr="00CF2E7C" w:rsidRDefault="00780ECE" w:rsidP="00CF2E7C">
            <w:pPr>
              <w:rPr>
                <w:rFonts w:ascii="Calibri" w:hAnsi="Calibri" w:cs="Calibri"/>
              </w:rPr>
            </w:pPr>
            <w:r>
              <w:rPr>
                <w:rFonts w:ascii="Calibri" w:hAnsi="Calibri" w:cs="Calibri"/>
              </w:rPr>
              <w:t>X</w:t>
            </w: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lastRenderedPageBreak/>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3C43E6F6" w:rsidR="00092534" w:rsidRPr="00CF2E7C" w:rsidRDefault="00780ECE"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3D06CA68" w:rsidR="00D46B07" w:rsidRPr="00CF2E7C" w:rsidRDefault="00780EC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488FD5BE" w:rsidR="00D46B07" w:rsidRPr="00CF2E7C" w:rsidRDefault="00780EC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44FED5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DB2610">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41C3DFD4"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11C3BCB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780ECE">
              <w:rPr>
                <w:rFonts w:ascii="Calibri" w:eastAsia="Times New Roman" w:hAnsi="Calibri" w:cs="Calibri"/>
                <w:kern w:val="0"/>
                <w:lang w:val="en-US" w:eastAsia="en-GB"/>
                <w14:ligatures w14:val="none"/>
              </w:rPr>
              <w:t>X</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1D2B6943"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780ECE">
              <w:rPr>
                <w:rFonts w:ascii="Calibri" w:eastAsia="Times New Roman" w:hAnsi="Calibri" w:cs="Calibri"/>
                <w:kern w:val="0"/>
                <w:lang w:val="en-US" w:eastAsia="en-GB"/>
                <w14:ligatures w14:val="none"/>
              </w:rPr>
              <w:t>X</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126E935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09DBFFD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B2610">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3716795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0F440D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80ECE">
              <w:rPr>
                <w:rFonts w:ascii="Calibri" w:eastAsia="Times New Roman" w:hAnsi="Calibri" w:cs="Calibri"/>
                <w:kern w:val="0"/>
                <w:lang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40D0221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80ECE">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0BB9A88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80ECE">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6C83DFE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80ECE">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1A322B2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80ECE">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4C75B58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80ECE">
              <w:rPr>
                <w:rFonts w:ascii="Calibri" w:eastAsia="Times New Roman" w:hAnsi="Calibri" w:cs="Calibri"/>
                <w:kern w:val="0"/>
                <w:lang w:eastAsia="en-GB"/>
                <w14:ligatures w14:val="none"/>
              </w:rPr>
              <w:t>The policy tool mandates the use of a</w:t>
            </w:r>
            <w:r w:rsidR="007F624C">
              <w:rPr>
                <w:rFonts w:ascii="Calibri" w:eastAsia="Times New Roman" w:hAnsi="Calibri" w:cs="Calibri"/>
                <w:kern w:val="0"/>
                <w:lang w:eastAsia="en-GB"/>
                <w14:ligatures w14:val="none"/>
              </w:rPr>
              <w:t xml:space="preserve"> voluntary</w:t>
            </w:r>
            <w:r w:rsidR="00DB2610">
              <w:rPr>
                <w:rFonts w:ascii="Calibri" w:eastAsia="Times New Roman" w:hAnsi="Calibri" w:cs="Calibri"/>
                <w:kern w:val="0"/>
                <w:lang w:eastAsia="en-GB"/>
                <w14:ligatures w14:val="none"/>
              </w:rPr>
              <w:t xml:space="preserve"> carbon credit</w:t>
            </w:r>
            <w:r w:rsidR="00780ECE">
              <w:rPr>
                <w:rFonts w:ascii="Calibri" w:eastAsia="Times New Roman" w:hAnsi="Calibri" w:cs="Calibri"/>
                <w:kern w:val="0"/>
                <w:lang w:eastAsia="en-GB"/>
                <w14:ligatures w14:val="none"/>
              </w:rPr>
              <w:t xml:space="preserve"> registry as stipulated </w:t>
            </w:r>
            <w:r w:rsidR="007F624C">
              <w:rPr>
                <w:rFonts w:ascii="Calibri" w:eastAsia="Times New Roman" w:hAnsi="Calibri" w:cs="Calibri"/>
                <w:kern w:val="0"/>
                <w:lang w:eastAsia="en-GB"/>
                <w14:ligatures w14:val="none"/>
              </w:rPr>
              <w:t>in articles 5, 7, and 8</w:t>
            </w:r>
            <w:r w:rsidR="00DB2610">
              <w:rPr>
                <w:rFonts w:ascii="Calibri" w:eastAsia="Times New Roman" w:hAnsi="Calibri" w:cs="Calibri"/>
                <w:kern w:val="0"/>
                <w:lang w:eastAsia="en-GB"/>
                <w14:ligatures w14:val="none"/>
              </w:rPr>
              <w:t>.</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4F99CBC7" w:rsidR="00343937" w:rsidRPr="00CF2E7C" w:rsidRDefault="007F624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24AB6D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24D7B">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2658178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A6D81">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191A70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5F54D01C" w:rsidR="00343937" w:rsidRPr="00CF2E7C" w:rsidRDefault="00D24D7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53C0BE75" w:rsidR="00343937" w:rsidRPr="00CF2E7C" w:rsidRDefault="00D24D7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r w:rsidR="00343937" w:rsidRPr="00CF2E7C">
              <w:rPr>
                <w:rFonts w:ascii="Calibri" w:eastAsia="Times New Roman" w:hAnsi="Calibri" w:cs="Calibri"/>
                <w:kern w:val="0"/>
                <w:lang w:val="en-US" w:eastAsia="en-GB"/>
                <w14:ligatures w14:val="none"/>
              </w:rPr>
              <w:t> </w:t>
            </w:r>
            <w:r w:rsidR="00343937"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152A435B" w:rsidR="00343937" w:rsidRPr="00CF2E7C" w:rsidRDefault="00D24D7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1166BE19" w:rsidR="00343937" w:rsidRPr="00CF2E7C" w:rsidRDefault="00D24D7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r w:rsidR="00343937" w:rsidRPr="00CF2E7C">
              <w:rPr>
                <w:rFonts w:ascii="Calibri" w:eastAsia="Times New Roman" w:hAnsi="Calibri" w:cs="Calibri"/>
                <w:kern w:val="0"/>
                <w:lang w:val="en-US" w:eastAsia="en-GB"/>
                <w14:ligatures w14:val="none"/>
              </w:rPr>
              <w:t> </w:t>
            </w:r>
            <w:r w:rsidR="00343937"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5C7BEB" w14:textId="77777777" w:rsidR="00343937" w:rsidRDefault="00D24D7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Article 4 requires that credits enter a registry account owned by the Clearing Company before trading, preventing double issuance.</w:t>
            </w:r>
          </w:p>
          <w:p w14:paraId="538DE883" w14:textId="77777777" w:rsidR="002A6D81" w:rsidRDefault="002A6D81" w:rsidP="00CF2E7C">
            <w:pPr>
              <w:textAlignment w:val="baseline"/>
              <w:rPr>
                <w:rFonts w:ascii="Calibri" w:eastAsia="Times New Roman" w:hAnsi="Calibri" w:cs="Calibri"/>
                <w:kern w:val="0"/>
                <w:lang w:eastAsia="en-GB"/>
                <w14:ligatures w14:val="none"/>
              </w:rPr>
            </w:pPr>
          </w:p>
          <w:p w14:paraId="4878BF58" w14:textId="72EA5E0F" w:rsidR="002A6D81" w:rsidRPr="00CF2E7C" w:rsidRDefault="002A6D8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lastRenderedPageBreak/>
              <w:t xml:space="preserve">Article 7 requires the retirement of the credit through the registry, preventing any subsequent </w:t>
            </w:r>
            <w:r w:rsidRPr="00CF2E7C">
              <w:rPr>
                <w:rFonts w:ascii="Calibri" w:eastAsia="Times New Roman" w:hAnsi="Calibri" w:cs="Calibri"/>
                <w:kern w:val="0"/>
                <w:lang w:eastAsia="en-GB"/>
                <w14:ligatures w14:val="none"/>
              </w:rPr>
              <w:t>transfer, retirement or cancellation</w:t>
            </w:r>
            <w:r>
              <w:rPr>
                <w:rFonts w:ascii="Calibri" w:eastAsia="Times New Roman" w:hAnsi="Calibri" w:cs="Calibri"/>
                <w:kern w:val="0"/>
                <w:lang w:eastAsia="en-GB"/>
                <w14:ligatures w14:val="none"/>
              </w:rPr>
              <w:t>.</w:t>
            </w: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24274895" w:rsidR="00343937" w:rsidRPr="00CF2E7C" w:rsidRDefault="002A6D8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r w:rsidR="00343937" w:rsidRPr="00CF2E7C">
              <w:rPr>
                <w:rFonts w:ascii="Calibri" w:eastAsia="Times New Roman" w:hAnsi="Calibri" w:cs="Calibri"/>
                <w:kern w:val="0"/>
                <w:lang w:val="en-US" w:eastAsia="en-GB"/>
                <w14:ligatures w14:val="none"/>
              </w:rPr>
              <w:t> </w:t>
            </w:r>
            <w:r w:rsidR="00343937"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5D9E8B14" w:rsidR="00343937" w:rsidRPr="00CF2E7C" w:rsidRDefault="002A6D8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r w:rsidR="00343937" w:rsidRPr="00CF2E7C">
              <w:rPr>
                <w:rFonts w:ascii="Calibri" w:eastAsia="Times New Roman" w:hAnsi="Calibri" w:cs="Calibri"/>
                <w:kern w:val="0"/>
                <w:lang w:val="en-US" w:eastAsia="en-GB"/>
                <w14:ligatures w14:val="none"/>
              </w:rPr>
              <w:t> </w:t>
            </w:r>
            <w:r w:rsidR="00343937"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56F9AC88" w:rsidR="00343937" w:rsidRPr="00CF2E7C" w:rsidRDefault="002A6D8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435CB718" w:rsidR="00343937" w:rsidRPr="00CF2E7C" w:rsidRDefault="002A6D8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r w:rsidR="00343937" w:rsidRPr="00CF2E7C">
              <w:rPr>
                <w:rFonts w:ascii="Calibri" w:eastAsia="Times New Roman" w:hAnsi="Calibri" w:cs="Calibri"/>
                <w:kern w:val="0"/>
                <w:lang w:val="en-US" w:eastAsia="en-GB"/>
                <w14:ligatures w14:val="none"/>
              </w:rPr>
              <w:t> </w:t>
            </w:r>
            <w:r w:rsidR="00343937"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189D28AD" w:rsidR="000A6F11" w:rsidRPr="00CF2E7C" w:rsidRDefault="002A6D8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lastRenderedPageBreak/>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lastRenderedPageBreak/>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602E44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A6D81">
              <w:rPr>
                <w:rFonts w:ascii="Calibri" w:eastAsia="Times New Roman" w:hAnsi="Calibri" w:cs="Calibri"/>
                <w:kern w:val="0"/>
                <w:lang w:eastAsia="en-GB"/>
                <w14:ligatures w14:val="none"/>
              </w:rPr>
              <w:t>X</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69FB19B6" w:rsidR="002119B6" w:rsidRPr="00CF2E7C" w:rsidRDefault="002A6D8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xml:space="preserve">, please also fill out Section 4.3.2. However, if you have </w:t>
            </w:r>
            <w:r w:rsidRPr="00CF2E7C">
              <w:rPr>
                <w:rFonts w:ascii="Calibri" w:eastAsia="Times New Roman" w:hAnsi="Calibri" w:cs="Calibri"/>
                <w:i/>
                <w:iCs/>
                <w:kern w:val="0"/>
                <w:lang w:eastAsia="en-GB"/>
                <w14:ligatures w14:val="none"/>
              </w:rPr>
              <w:lastRenderedPageBreak/>
              <w:t>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61165C5E" w:rsidR="00FE7FA5" w:rsidRPr="00CF2E7C" w:rsidRDefault="002A6D8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0933F950" w14:textId="77777777" w:rsidR="00FE7FA5" w:rsidRDefault="0014789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Article 2: only FRA licensed brokerage firms can execute trades on behalf of clients.</w:t>
            </w:r>
          </w:p>
          <w:p w14:paraId="2080C3D9" w14:textId="28FEE253" w:rsidR="00147899" w:rsidRPr="00CF2E7C" w:rsidRDefault="0014789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Article 6 and 9: the clearing company is responsible for ensuring the proper settlement of trades and maintaining an audit trail of all transactions and also for transferring ownership of forward contracts to buyers.</w:t>
            </w: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28397413" w:rsidR="00FE7FA5" w:rsidRPr="00CF2E7C" w:rsidRDefault="007B3C7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policy tool provides limited procedural criteria on which credits can be used in the voluntary carbon market</w:t>
            </w:r>
            <w:r w:rsidR="00147899">
              <w:rPr>
                <w:rFonts w:ascii="Calibri" w:eastAsia="Times New Roman" w:hAnsi="Calibri" w:cs="Calibri"/>
                <w:kern w:val="0"/>
                <w:lang w:eastAsia="en-GB"/>
                <w14:ligatures w14:val="none"/>
              </w:rPr>
              <w:t xml:space="preserve"> and makes reference in the definitions (article 2) to carbon emission reduction credits (which are tradeable instruments that represent units of greenhouse gas emission reductions, where each unit represents one ton of carbon dioxide equivalent emissions and is issued to the project developer after completion of verification and validation procedures</w:t>
            </w:r>
            <w:r w:rsidR="00614B4C">
              <w:rPr>
                <w:rFonts w:ascii="Calibri" w:eastAsia="Times New Roman" w:hAnsi="Calibri" w:cs="Calibri"/>
                <w:kern w:val="0"/>
                <w:lang w:eastAsia="en-GB"/>
                <w14:ligatures w14:val="none"/>
              </w:rPr>
              <w:t xml:space="preserve"> as carried out by verification and validation bodies in accordance with international standards</w:t>
            </w:r>
            <w:r w:rsidR="00147899">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 xml:space="preserve">; article 4 mandates that all credits should enter a registry before being traded and article 7 stipulates that </w:t>
            </w:r>
            <w:r w:rsidR="00CC66D5">
              <w:rPr>
                <w:rFonts w:ascii="Calibri" w:eastAsia="Times New Roman" w:hAnsi="Calibri" w:cs="Calibri"/>
                <w:kern w:val="0"/>
                <w:lang w:eastAsia="en-GB"/>
                <w14:ligatures w14:val="none"/>
              </w:rPr>
              <w:t xml:space="preserve">requests for </w:t>
            </w:r>
            <w:r>
              <w:rPr>
                <w:rFonts w:ascii="Calibri" w:eastAsia="Times New Roman" w:hAnsi="Calibri" w:cs="Calibri"/>
                <w:kern w:val="0"/>
                <w:lang w:eastAsia="en-GB"/>
                <w14:ligatures w14:val="none"/>
              </w:rPr>
              <w:t>retirement</w:t>
            </w:r>
            <w:r w:rsidR="00CC66D5">
              <w:rPr>
                <w:rFonts w:ascii="Calibri" w:eastAsia="Times New Roman" w:hAnsi="Calibri" w:cs="Calibri"/>
                <w:kern w:val="0"/>
                <w:lang w:eastAsia="en-GB"/>
                <w14:ligatures w14:val="none"/>
              </w:rPr>
              <w:t xml:space="preserve"> of</w:t>
            </w:r>
            <w:r>
              <w:rPr>
                <w:rFonts w:ascii="Calibri" w:eastAsia="Times New Roman" w:hAnsi="Calibri" w:cs="Calibri"/>
                <w:kern w:val="0"/>
                <w:lang w:eastAsia="en-GB"/>
                <w14:ligatures w14:val="none"/>
              </w:rPr>
              <w:t xml:space="preserve"> credits must be accompanied with project name, project ID, developer, country, and year of issuance.</w:t>
            </w: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4F09595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B3C79">
              <w:rPr>
                <w:rFonts w:ascii="Calibri" w:eastAsia="Times New Roman" w:hAnsi="Calibri" w:cs="Calibri"/>
                <w:kern w:val="0"/>
                <w:lang w:eastAsia="en-GB"/>
                <w14:ligatures w14:val="none"/>
              </w:rPr>
              <w:t>X</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57C5050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7B3C79">
              <w:rPr>
                <w:rFonts w:ascii="Calibri" w:eastAsia="Times New Roman" w:hAnsi="Calibri" w:cs="Calibri"/>
                <w:kern w:val="0"/>
                <w:lang w:eastAsia="en-GB"/>
                <w14:ligatures w14:val="none"/>
              </w:rPr>
              <w:t>X</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0494B3D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7B3C79">
              <w:rPr>
                <w:rFonts w:ascii="Calibri" w:eastAsia="Times New Roman" w:hAnsi="Calibri" w:cs="Calibri"/>
                <w:kern w:val="0"/>
                <w:lang w:eastAsia="en-GB"/>
                <w14:ligatures w14:val="none"/>
              </w:rPr>
              <w:t>X</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3C5F561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7B3C79">
              <w:rPr>
                <w:rFonts w:ascii="Calibri" w:eastAsia="Times New Roman" w:hAnsi="Calibri" w:cs="Calibri"/>
                <w:kern w:val="0"/>
                <w:lang w:eastAsia="en-GB"/>
                <w14:ligatures w14:val="none"/>
              </w:rPr>
              <w:t>X</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30762A5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7B3C79">
              <w:rPr>
                <w:rFonts w:ascii="Calibri" w:eastAsia="Times New Roman" w:hAnsi="Calibri" w:cs="Calibri"/>
                <w:kern w:val="0"/>
                <w:lang w:eastAsia="en-GB"/>
                <w14:ligatures w14:val="none"/>
              </w:rPr>
              <w:t>X</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4043F73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7B3C79">
              <w:rPr>
                <w:rFonts w:ascii="Calibri" w:eastAsia="Times New Roman" w:hAnsi="Calibri" w:cs="Calibri"/>
                <w:kern w:val="0"/>
                <w:lang w:eastAsia="en-GB"/>
                <w14:ligatures w14:val="none"/>
              </w:rPr>
              <w:t>X</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0A70EDF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7B3C79">
              <w:rPr>
                <w:rFonts w:ascii="Calibri" w:eastAsia="Times New Roman" w:hAnsi="Calibri" w:cs="Calibri"/>
                <w:kern w:val="0"/>
                <w:lang w:val="en-US" w:eastAsia="en-GB"/>
                <w14:ligatures w14:val="none"/>
              </w:rPr>
              <w:t>X</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54613E9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7B3C79">
              <w:rPr>
                <w:rFonts w:ascii="Calibri" w:eastAsia="Times New Roman" w:hAnsi="Calibri" w:cs="Calibri"/>
                <w:kern w:val="0"/>
                <w:lang w:eastAsia="en-GB"/>
                <w14:ligatures w14:val="none"/>
              </w:rPr>
              <w:t>X</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6CFFEC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38CE60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7B3C79">
              <w:rPr>
                <w:rFonts w:ascii="Calibri" w:eastAsia="Times New Roman" w:hAnsi="Calibri" w:cs="Calibri"/>
                <w:kern w:val="0"/>
                <w:lang w:val="en-US" w:eastAsia="en-GB"/>
                <w14:ligatures w14:val="none"/>
              </w:rPr>
              <w:t>X</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605476B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7B3C79">
              <w:rPr>
                <w:rFonts w:ascii="Calibri" w:eastAsia="Times New Roman" w:hAnsi="Calibri" w:cs="Calibri"/>
                <w:kern w:val="0"/>
                <w:lang w:val="en-US" w:eastAsia="en-GB"/>
                <w14:ligatures w14:val="none"/>
              </w:rPr>
              <w:t>X</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68F1FA3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7B3C79">
              <w:rPr>
                <w:rFonts w:ascii="Calibri" w:eastAsia="Times New Roman" w:hAnsi="Calibri" w:cs="Calibri"/>
                <w:kern w:val="0"/>
                <w:lang w:eastAsia="en-GB"/>
                <w14:ligatures w14:val="none"/>
              </w:rPr>
              <w:t>X</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261A06B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7B3C79">
              <w:rPr>
                <w:rFonts w:ascii="Calibri" w:eastAsia="Times New Roman" w:hAnsi="Calibri" w:cs="Calibri"/>
                <w:kern w:val="0"/>
                <w:lang w:val="en-US" w:eastAsia="en-GB"/>
                <w14:ligatures w14:val="none"/>
              </w:rPr>
              <w:t>X</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372D10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7B3C79">
              <w:rPr>
                <w:rFonts w:ascii="Calibri" w:eastAsia="Times New Roman" w:hAnsi="Calibri" w:cs="Calibri"/>
                <w:kern w:val="0"/>
                <w:lang w:eastAsia="en-GB"/>
                <w14:ligatures w14:val="none"/>
              </w:rPr>
              <w:t>X</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1F94FE5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426409AE" w:rsidR="00392F82" w:rsidRPr="009C4D10" w:rsidRDefault="007B3C79"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12D4320E" w:rsidR="00392F82" w:rsidRPr="009C4D10" w:rsidRDefault="007B3C79"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167214" w14:textId="391A0E8D" w:rsidR="00392F82" w:rsidRDefault="007B3C79"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The policy tool refers to the AFRICARBONX, a carbon credits trading regulated market</w:t>
            </w:r>
            <w:r w:rsidR="001E1007">
              <w:rPr>
                <w:rFonts w:eastAsia="Times New Roman" w:cstheme="minorHAnsi"/>
                <w:kern w:val="0"/>
                <w:lang w:eastAsia="en-GB"/>
                <w14:ligatures w14:val="none"/>
              </w:rPr>
              <w:t xml:space="preserve"> on the Egyptian Exchange</w:t>
            </w:r>
            <w:r>
              <w:rPr>
                <w:rFonts w:eastAsia="Times New Roman" w:cstheme="minorHAnsi"/>
                <w:kern w:val="0"/>
                <w:lang w:eastAsia="en-GB"/>
                <w14:ligatures w14:val="none"/>
              </w:rPr>
              <w:t xml:space="preserve"> </w:t>
            </w:r>
            <w:r w:rsidR="001E1007">
              <w:rPr>
                <w:rFonts w:eastAsia="Times New Roman" w:cstheme="minorHAnsi"/>
                <w:kern w:val="0"/>
                <w:lang w:eastAsia="en-GB"/>
                <w14:ligatures w14:val="none"/>
              </w:rPr>
              <w:t>in article 2.</w:t>
            </w:r>
          </w:p>
          <w:p w14:paraId="3B07C9C4" w14:textId="77777777" w:rsidR="007B3C79" w:rsidRDefault="007B3C79" w:rsidP="00CF2E7C">
            <w:pPr>
              <w:textAlignment w:val="baseline"/>
              <w:rPr>
                <w:rFonts w:eastAsia="Times New Roman" w:cstheme="minorHAnsi"/>
                <w:kern w:val="0"/>
                <w:lang w:eastAsia="en-GB"/>
                <w14:ligatures w14:val="none"/>
              </w:rPr>
            </w:pPr>
          </w:p>
          <w:p w14:paraId="0204CC10" w14:textId="06C08A0E" w:rsidR="001E1007" w:rsidRDefault="001E1007"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Articles 4-8 outline rules for clearing, transferring settlement, and retirement which mirrors financial market operations and treats carbon credits as a financial instrument.</w:t>
            </w:r>
          </w:p>
          <w:p w14:paraId="6108FF67" w14:textId="5FD7462E" w:rsidR="007B3C79" w:rsidRPr="009C4D10" w:rsidRDefault="007B3C79"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FC9C8A3" w14:textId="5FC66DC0" w:rsidR="00392F82" w:rsidRDefault="001E1007"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The policy tool mandates that settlement, and retirement are done through registered clearing companies.</w:t>
            </w:r>
          </w:p>
          <w:p w14:paraId="0D976900" w14:textId="77777777" w:rsidR="001E1007" w:rsidRDefault="001E1007" w:rsidP="00CF2E7C">
            <w:pPr>
              <w:textAlignment w:val="baseline"/>
              <w:rPr>
                <w:rFonts w:eastAsia="Times New Roman" w:cstheme="minorHAnsi"/>
                <w:kern w:val="0"/>
                <w:lang w:eastAsia="en-GB"/>
                <w14:ligatures w14:val="none"/>
              </w:rPr>
            </w:pPr>
          </w:p>
          <w:p w14:paraId="1C2868E6" w14:textId="77777777" w:rsidR="001E1007" w:rsidRDefault="001E1007" w:rsidP="00CF2E7C">
            <w:pPr>
              <w:textAlignment w:val="baseline"/>
              <w:rPr>
                <w:rFonts w:eastAsia="Times New Roman" w:cstheme="minorHAnsi"/>
                <w:kern w:val="0"/>
                <w:lang w:eastAsia="en-GB"/>
                <w14:ligatures w14:val="none"/>
              </w:rPr>
            </w:pPr>
            <w:r w:rsidRPr="001E1007">
              <w:rPr>
                <w:rFonts w:eastAsia="Times New Roman" w:cstheme="minorHAnsi"/>
                <w:kern w:val="0"/>
                <w:lang w:eastAsia="en-GB"/>
                <w14:ligatures w14:val="none"/>
              </w:rPr>
              <w:t>Article 4 requires the transfer</w:t>
            </w:r>
            <w:r>
              <w:rPr>
                <w:rFonts w:eastAsia="Times New Roman" w:cstheme="minorHAnsi"/>
                <w:kern w:val="0"/>
                <w:lang w:eastAsia="en-GB"/>
                <w14:ligatures w14:val="none"/>
              </w:rPr>
              <w:t xml:space="preserve"> of credits to a registry account belonging to the Clearing Company</w:t>
            </w:r>
            <w:r w:rsidRPr="001E1007">
              <w:rPr>
                <w:rFonts w:eastAsia="Times New Roman" w:cstheme="minorHAnsi"/>
                <w:kern w:val="0"/>
                <w:lang w:eastAsia="en-GB"/>
                <w14:ligatures w14:val="none"/>
              </w:rPr>
              <w:t xml:space="preserve"> before settlement</w:t>
            </w:r>
            <w:r>
              <w:rPr>
                <w:rFonts w:eastAsia="Times New Roman" w:cstheme="minorHAnsi"/>
                <w:kern w:val="0"/>
                <w:lang w:eastAsia="en-GB"/>
                <w14:ligatures w14:val="none"/>
              </w:rPr>
              <w:t xml:space="preserve"> to </w:t>
            </w:r>
            <w:r w:rsidRPr="001E1007">
              <w:rPr>
                <w:rFonts w:eastAsia="Times New Roman" w:cstheme="minorHAnsi"/>
                <w:kern w:val="0"/>
                <w:lang w:eastAsia="en-GB"/>
                <w14:ligatures w14:val="none"/>
              </w:rPr>
              <w:t>ensu</w:t>
            </w:r>
            <w:r>
              <w:rPr>
                <w:rFonts w:eastAsia="Times New Roman" w:cstheme="minorHAnsi"/>
                <w:kern w:val="0"/>
                <w:lang w:eastAsia="en-GB"/>
                <w14:ligatures w14:val="none"/>
              </w:rPr>
              <w:t>re</w:t>
            </w:r>
            <w:r w:rsidRPr="001E1007">
              <w:rPr>
                <w:rFonts w:eastAsia="Times New Roman" w:cstheme="minorHAnsi"/>
                <w:kern w:val="0"/>
                <w:lang w:eastAsia="en-GB"/>
                <w14:ligatures w14:val="none"/>
              </w:rPr>
              <w:t xml:space="preserve"> the validity and traceability of credits.</w:t>
            </w:r>
          </w:p>
          <w:p w14:paraId="06339324" w14:textId="77777777" w:rsidR="001E1007" w:rsidRDefault="001E1007" w:rsidP="00CF2E7C">
            <w:pPr>
              <w:textAlignment w:val="baseline"/>
              <w:rPr>
                <w:rFonts w:eastAsia="Times New Roman" w:cstheme="minorHAnsi"/>
                <w:kern w:val="0"/>
                <w:lang w:eastAsia="en-GB"/>
                <w14:ligatures w14:val="none"/>
              </w:rPr>
            </w:pPr>
          </w:p>
          <w:p w14:paraId="4656A85F" w14:textId="20531775" w:rsidR="001E1007" w:rsidRPr="009C4D10" w:rsidRDefault="001E1007" w:rsidP="00CF2E7C">
            <w:pPr>
              <w:textAlignment w:val="baseline"/>
              <w:rPr>
                <w:rFonts w:eastAsia="Times New Roman" w:cstheme="minorHAnsi"/>
                <w:kern w:val="0"/>
                <w:lang w:eastAsia="en-GB"/>
                <w14:ligatures w14:val="none"/>
              </w:rPr>
            </w:pPr>
            <w:r w:rsidRPr="001E1007">
              <w:rPr>
                <w:rFonts w:eastAsia="Times New Roman" w:cstheme="minorHAnsi"/>
                <w:kern w:val="0"/>
                <w:lang w:eastAsia="en-GB"/>
                <w14:ligatures w14:val="none"/>
              </w:rPr>
              <w:t>Article 5–7 establish a structured process for cash and credit settlement</w:t>
            </w:r>
            <w:r w:rsidR="00CC66D5">
              <w:rPr>
                <w:rFonts w:eastAsia="Times New Roman" w:cstheme="minorHAnsi"/>
                <w:kern w:val="0"/>
                <w:lang w:eastAsia="en-GB"/>
                <w14:ligatures w14:val="none"/>
              </w:rPr>
              <w:t xml:space="preserve"> while article 8 sets out a detailed process for final settlement.</w:t>
            </w: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AD5DC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AD5DC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AE3BE10" w14:textId="77777777" w:rsidR="0061747A" w:rsidRDefault="0061747A" w:rsidP="00874E39">
      <w:r>
        <w:separator/>
      </w:r>
    </w:p>
  </w:endnote>
  <w:endnote w:type="continuationSeparator" w:id="0">
    <w:p w14:paraId="083945B9" w14:textId="77777777" w:rsidR="0061747A" w:rsidRDefault="0061747A" w:rsidP="00874E39">
      <w:r>
        <w:continuationSeparator/>
      </w:r>
    </w:p>
  </w:endnote>
  <w:endnote w:type="continuationNotice" w:id="1">
    <w:p w14:paraId="33C5F1B8" w14:textId="77777777" w:rsidR="0061747A" w:rsidRDefault="0061747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7376CEC" w14:textId="77777777" w:rsidR="0061747A" w:rsidRDefault="0061747A" w:rsidP="00874E39">
      <w:r>
        <w:separator/>
      </w:r>
    </w:p>
  </w:footnote>
  <w:footnote w:type="continuationSeparator" w:id="0">
    <w:p w14:paraId="7AA3BC01" w14:textId="77777777" w:rsidR="0061747A" w:rsidRDefault="0061747A" w:rsidP="00874E39">
      <w:r>
        <w:continuationSeparator/>
      </w:r>
    </w:p>
  </w:footnote>
  <w:footnote w:type="continuationNotice" w:id="1">
    <w:p w14:paraId="5401A9BF" w14:textId="77777777" w:rsidR="0061747A" w:rsidRDefault="0061747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4"/>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57AB6"/>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0E0"/>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08DE"/>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47899"/>
    <w:rsid w:val="00150B6F"/>
    <w:rsid w:val="00150BA9"/>
    <w:rsid w:val="00152C19"/>
    <w:rsid w:val="00152C7E"/>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1F74"/>
    <w:rsid w:val="001A38BD"/>
    <w:rsid w:val="001A4045"/>
    <w:rsid w:val="001A4372"/>
    <w:rsid w:val="001A4C33"/>
    <w:rsid w:val="001A4E14"/>
    <w:rsid w:val="001A56AE"/>
    <w:rsid w:val="001A5F64"/>
    <w:rsid w:val="001A6414"/>
    <w:rsid w:val="001A660D"/>
    <w:rsid w:val="001A6E92"/>
    <w:rsid w:val="001A6EEE"/>
    <w:rsid w:val="001A764D"/>
    <w:rsid w:val="001A7822"/>
    <w:rsid w:val="001B0692"/>
    <w:rsid w:val="001B0906"/>
    <w:rsid w:val="001B27AB"/>
    <w:rsid w:val="001B3145"/>
    <w:rsid w:val="001B3A31"/>
    <w:rsid w:val="001B3EFB"/>
    <w:rsid w:val="001B4DEC"/>
    <w:rsid w:val="001B4FB1"/>
    <w:rsid w:val="001B60DE"/>
    <w:rsid w:val="001B7A6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007"/>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93"/>
    <w:rsid w:val="002968A6"/>
    <w:rsid w:val="00296D90"/>
    <w:rsid w:val="0029703E"/>
    <w:rsid w:val="002A0239"/>
    <w:rsid w:val="002A1860"/>
    <w:rsid w:val="002A1997"/>
    <w:rsid w:val="002A237B"/>
    <w:rsid w:val="002A32E0"/>
    <w:rsid w:val="002A3C84"/>
    <w:rsid w:val="002A3F53"/>
    <w:rsid w:val="002A4221"/>
    <w:rsid w:val="002A6274"/>
    <w:rsid w:val="002A6707"/>
    <w:rsid w:val="002A6D81"/>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963"/>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39DB"/>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8D5"/>
    <w:rsid w:val="003F2B00"/>
    <w:rsid w:val="003F2E77"/>
    <w:rsid w:val="003F338D"/>
    <w:rsid w:val="003F39C3"/>
    <w:rsid w:val="003F4908"/>
    <w:rsid w:val="003F5B6F"/>
    <w:rsid w:val="003F680F"/>
    <w:rsid w:val="00400800"/>
    <w:rsid w:val="00401843"/>
    <w:rsid w:val="004024D0"/>
    <w:rsid w:val="00404119"/>
    <w:rsid w:val="00404453"/>
    <w:rsid w:val="00405755"/>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0D4"/>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1DB7"/>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D7ED8"/>
    <w:rsid w:val="005E0296"/>
    <w:rsid w:val="005E264E"/>
    <w:rsid w:val="005E2F27"/>
    <w:rsid w:val="005E50FD"/>
    <w:rsid w:val="005E603A"/>
    <w:rsid w:val="005E62F9"/>
    <w:rsid w:val="005E6355"/>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528"/>
    <w:rsid w:val="00612981"/>
    <w:rsid w:val="00612E55"/>
    <w:rsid w:val="00613220"/>
    <w:rsid w:val="00613384"/>
    <w:rsid w:val="00613C9D"/>
    <w:rsid w:val="006143C5"/>
    <w:rsid w:val="006144DA"/>
    <w:rsid w:val="00614B4C"/>
    <w:rsid w:val="00614D1E"/>
    <w:rsid w:val="00615CDA"/>
    <w:rsid w:val="00616D73"/>
    <w:rsid w:val="0061747A"/>
    <w:rsid w:val="00617678"/>
    <w:rsid w:val="006176B3"/>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0ECE"/>
    <w:rsid w:val="0078288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3C79"/>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24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8D"/>
    <w:rsid w:val="00833FB6"/>
    <w:rsid w:val="00834370"/>
    <w:rsid w:val="008354C6"/>
    <w:rsid w:val="00835A06"/>
    <w:rsid w:val="00836174"/>
    <w:rsid w:val="00836AFC"/>
    <w:rsid w:val="008377D4"/>
    <w:rsid w:val="00840208"/>
    <w:rsid w:val="00840D64"/>
    <w:rsid w:val="00840E46"/>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6692F"/>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3013"/>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18D"/>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4E9"/>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86AA4"/>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A4F"/>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50D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2698"/>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2E37"/>
    <w:rsid w:val="00AA38F6"/>
    <w:rsid w:val="00AA4965"/>
    <w:rsid w:val="00AA6DDB"/>
    <w:rsid w:val="00AB0830"/>
    <w:rsid w:val="00AB2CCC"/>
    <w:rsid w:val="00AB4F2C"/>
    <w:rsid w:val="00AB64F8"/>
    <w:rsid w:val="00AC3C5B"/>
    <w:rsid w:val="00AC6ECF"/>
    <w:rsid w:val="00AC7B6B"/>
    <w:rsid w:val="00AD1216"/>
    <w:rsid w:val="00AD1BC7"/>
    <w:rsid w:val="00AD4477"/>
    <w:rsid w:val="00AD4F51"/>
    <w:rsid w:val="00AD5285"/>
    <w:rsid w:val="00AD54D3"/>
    <w:rsid w:val="00AD5DCD"/>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253E"/>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45CA"/>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0D63"/>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66D5"/>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4D7B"/>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610"/>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2806"/>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5EA1"/>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0E92"/>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B5AA6"/>
    <w:rsid w:val="00FB6189"/>
    <w:rsid w:val="00FC0689"/>
    <w:rsid w:val="00FC13F0"/>
    <w:rsid w:val="00FC19DC"/>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2E2"/>
    <w:rsid w:val="00FE7572"/>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5049593">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9169537">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119201104/https://fra.gov.eg/wp-content/uploads/2025/01/clearance_rules_carbon_jul_2024-1.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111</Pages>
  <Words>22361</Words>
  <Characters>127464</Characters>
  <Application>Microsoft Office Word</Application>
  <DocSecurity>4</DocSecurity>
  <Lines>1062</Lines>
  <Paragraphs>299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149526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Nouran Abdou</cp:lastModifiedBy>
  <cp:revision>2</cp:revision>
  <cp:lastPrinted>2025-03-21T00:14:00Z</cp:lastPrinted>
  <dcterms:created xsi:type="dcterms:W3CDTF">2025-07-01T08:34:00Z</dcterms:created>
  <dcterms:modified xsi:type="dcterms:W3CDTF">2025-07-01T08:34:00Z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